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040" w:rsidRDefault="00431E88" w:rsidP="009B38D1">
      <w:pPr>
        <w:pStyle w:val="Rubrik1"/>
        <w:ind w:firstLine="1304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F24040">
        <w:br/>
      </w:r>
      <w:r w:rsidR="009B38D1">
        <w:t>Ordination av läkemedel</w:t>
      </w:r>
    </w:p>
    <w:p w:rsidR="009B38D1" w:rsidRPr="009B38D1" w:rsidRDefault="009B38D1" w:rsidP="009B38D1"/>
    <w:p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:rsidR="00431E88" w:rsidRDefault="00431E88" w:rsidP="00431E88">
      <w:pPr>
        <w:spacing w:after="240"/>
      </w:pPr>
      <w:r>
        <w:t>Klinikens lokal</w:t>
      </w:r>
      <w:r w:rsidR="00D238BF">
        <w:t>a</w:t>
      </w:r>
      <w:r>
        <w:t xml:space="preserve"> rutin syftar till att komplettera o</w:t>
      </w:r>
      <w:r w:rsidR="00B930CF">
        <w:t xml:space="preserve">ch förtydliga Socialstyrelsens föreskrift HSLF-FS 2017:37 </w:t>
      </w:r>
      <w:r>
        <w:t xml:space="preserve">kring ordination och hantering av läkemedel och gäller för alla berörda medarbetare i Folktandvården, Region Kalmar län. </w:t>
      </w:r>
      <w:r>
        <w:br/>
      </w:r>
      <w:r w:rsidRPr="00DB6EF9">
        <w:rPr>
          <w:szCs w:val="24"/>
        </w:rPr>
        <w:t xml:space="preserve">Folktandvårdens lokala </w:t>
      </w:r>
      <w:r>
        <w:rPr>
          <w:szCs w:val="24"/>
        </w:rPr>
        <w:t>rutin</w:t>
      </w:r>
      <w:r w:rsidRPr="00DB6EF9">
        <w:rPr>
          <w:szCs w:val="24"/>
        </w:rPr>
        <w:t xml:space="preserve"> följer tillämpliga delar av den </w:t>
      </w:r>
      <w:r>
        <w:rPr>
          <w:szCs w:val="24"/>
        </w:rPr>
        <w:t>region</w:t>
      </w:r>
      <w:r w:rsidRPr="00DB6EF9">
        <w:rPr>
          <w:szCs w:val="24"/>
        </w:rPr>
        <w:t xml:space="preserve">gemensamma Riktlinjen för läkemedelshantering – </w:t>
      </w:r>
      <w:r w:rsidR="009B38D1">
        <w:rPr>
          <w:szCs w:val="24"/>
        </w:rPr>
        <w:t>Ordination av läkemedel</w:t>
      </w:r>
      <w:r w:rsidRPr="00DB6EF9">
        <w:rPr>
          <w:szCs w:val="24"/>
        </w:rPr>
        <w:t>.</w:t>
      </w:r>
    </w:p>
    <w:p w:rsidR="009B38D1" w:rsidRDefault="009B38D1" w:rsidP="009B38D1">
      <w:pPr>
        <w:rPr>
          <w:szCs w:val="24"/>
        </w:rPr>
      </w:pPr>
      <w:r w:rsidRPr="006B715A">
        <w:rPr>
          <w:rFonts w:ascii="Arial" w:hAnsi="Arial" w:cs="Arial"/>
          <w:b/>
        </w:rPr>
        <w:t>Ansvar</w:t>
      </w:r>
      <w:r>
        <w:rPr>
          <w:rFonts w:ascii="Arial" w:hAnsi="Arial" w:cs="Arial"/>
          <w:b/>
        </w:rPr>
        <w:br/>
      </w:r>
      <w:r w:rsidRPr="00600BCA">
        <w:rPr>
          <w:szCs w:val="24"/>
        </w:rPr>
        <w:t xml:space="preserve">Ordination av läkemedel får göras av läkare, tandläkare, tandhygienist, barnmorska samt sjuksköterska med förskrivningsrätt. </w:t>
      </w:r>
    </w:p>
    <w:p w:rsidR="009B38D1" w:rsidRDefault="009B38D1" w:rsidP="009B38D1">
      <w:pPr>
        <w:rPr>
          <w:szCs w:val="24"/>
        </w:rPr>
      </w:pPr>
      <w:r>
        <w:rPr>
          <w:szCs w:val="24"/>
        </w:rPr>
        <w:t>Ordination av läkemedel för vaccination får göras av läkare och i vissa fall sjuksköterska med särskild kompetens.</w:t>
      </w:r>
    </w:p>
    <w:p w:rsidR="009B38D1" w:rsidRPr="00D62539" w:rsidRDefault="009B38D1" w:rsidP="009B38D1">
      <w:pPr>
        <w:pStyle w:val="Rubrik2"/>
      </w:pPr>
      <w:r>
        <w:t>Rutin</w:t>
      </w:r>
    </w:p>
    <w:p w:rsidR="009B38D1" w:rsidRPr="00820434" w:rsidRDefault="009B38D1" w:rsidP="009B38D1">
      <w:r w:rsidRPr="00820434">
        <w:t xml:space="preserve">Vid ordination </w:t>
      </w:r>
      <w:r w:rsidR="007077C4">
        <w:t>i sluten vård bör i första hand</w:t>
      </w:r>
      <w:r w:rsidRPr="00820434">
        <w:t xml:space="preserve"> upphandlade läkemed</w:t>
      </w:r>
      <w:r w:rsidR="00934CA8">
        <w:t>el</w:t>
      </w:r>
      <w:r w:rsidRPr="00820434">
        <w:t xml:space="preserve"> väljas.</w:t>
      </w:r>
    </w:p>
    <w:p w:rsidR="009B38D1" w:rsidRDefault="009B38D1" w:rsidP="009B38D1">
      <w:r w:rsidRPr="00820434">
        <w:t xml:space="preserve">Vid förskrivning bör Rekommenderade Läkemedel i Kalmar </w:t>
      </w:r>
      <w:r w:rsidR="00AA7EF4">
        <w:t>l</w:t>
      </w:r>
      <w:r w:rsidRPr="00820434">
        <w:t>än följas.</w:t>
      </w:r>
    </w:p>
    <w:p w:rsidR="009B38D1" w:rsidRPr="00F71EC0" w:rsidRDefault="009B38D1" w:rsidP="009B38D1">
      <w:pPr>
        <w:pStyle w:val="Rubrik2"/>
      </w:pPr>
      <w:r>
        <w:t>Lämplighetsbedömning</w:t>
      </w:r>
    </w:p>
    <w:p w:rsidR="009B38D1" w:rsidRPr="008B49EF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Den som ordinerar ett läkemedel ska säkerställa att ordinationen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är lämplig med utgångspunkt i patientens behov 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hälsotillstånd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ålder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kön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läkemedelsanvändning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på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gående behandling och utredning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kontraindikationer</w:t>
      </w:r>
    </w:p>
    <w:p w:rsidR="009B38D1" w:rsidRPr="008B49E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ö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verkänslighet mot läkemedel</w:t>
      </w:r>
    </w:p>
    <w:p w:rsidR="009B38D1" w:rsidRPr="0006215F" w:rsidRDefault="009B38D1" w:rsidP="009B38D1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graviditet eller amning</w:t>
      </w:r>
    </w:p>
    <w:p w:rsidR="009B38D1" w:rsidRPr="008B49EF" w:rsidRDefault="009B38D1" w:rsidP="009B38D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Lämplighetsbedömning krävs såväl vid ändring eller förlängning av en pågående läkemedelsbehandling som vid insättning eller utsättning av ett läkemedel.</w:t>
      </w:r>
    </w:p>
    <w:p w:rsidR="009B38D1" w:rsidRPr="008B49EF" w:rsidRDefault="009B38D1" w:rsidP="009B38D1">
      <w:pPr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Rimlighetsbedömning av ordinerad dos ska alltid göras.</w:t>
      </w:r>
    </w:p>
    <w:p w:rsidR="009B38D1" w:rsidRDefault="009B38D1" w:rsidP="009B38D1">
      <w:pPr>
        <w:pStyle w:val="Rubrik2"/>
      </w:pPr>
    </w:p>
    <w:p w:rsidR="009B38D1" w:rsidRPr="00C94409" w:rsidRDefault="009B38D1" w:rsidP="009B38D1">
      <w:pPr>
        <w:pStyle w:val="Rubrik2"/>
      </w:pPr>
      <w:r w:rsidRPr="00C94409">
        <w:t>Vad ska en ordination innehålla?</w:t>
      </w:r>
    </w:p>
    <w:p w:rsidR="009B38D1" w:rsidRDefault="009B38D1" w:rsidP="009B38D1">
      <w:r>
        <w:t>En korrekt angiven skriftlig ordination är en förutsättning för att undvika förväxling och feldosering.</w:t>
      </w:r>
    </w:p>
    <w:p w:rsidR="009B38D1" w:rsidRPr="008B49EF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lastRenderedPageBreak/>
        <w:t>En läkemedelsordination ska innehålla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: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läke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medelsnamn eller aktiv substans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läkemedelsform</w:t>
      </w:r>
    </w:p>
    <w:p w:rsidR="009B38D1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läkemedlets styrka</w:t>
      </w:r>
    </w:p>
    <w:p w:rsidR="009B38D1" w:rsidRPr="00D661A7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 xml:space="preserve">dosering </w:t>
      </w:r>
    </w:p>
    <w:p w:rsidR="009B38D1" w:rsidRPr="00D661A7" w:rsidRDefault="009B38D1" w:rsidP="009B38D1">
      <w:pPr>
        <w:pStyle w:val="Liststycke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om dosering anges som</w:t>
      </w:r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 xml:space="preserve"> vid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>behov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, ska även uppgift</w:t>
      </w:r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 xml:space="preserve"> om </w:t>
      </w:r>
      <w:proofErr w:type="spellStart"/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>maxdos</w:t>
      </w:r>
      <w:proofErr w:type="spellEnd"/>
      <w:r w:rsidRPr="00D661A7">
        <w:rPr>
          <w:rFonts w:ascii="TimesNewRomanPSMT" w:eastAsiaTheme="minorHAnsi" w:hAnsi="TimesNewRomanPSMT" w:cs="TimesNewRomanPSMT"/>
          <w:szCs w:val="24"/>
          <w:lang w:eastAsia="en-US"/>
        </w:rPr>
        <w:t xml:space="preserve"> per dygn dokumenteras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administreringssätt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administreringstillfällen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läkemedelsbehandlingens längd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ordinationsorsak, bör anges genom användning av Socialstyrelsens nation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ella källa för ordinationsorsak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när och hur läkemedelsbehandlinge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n ska följas upp eller avslutas</w:t>
      </w:r>
    </w:p>
    <w:p w:rsidR="009B38D1" w:rsidRPr="008B49E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i förekommande fall, anledningen till att läkemedlet inte får bytas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ut m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ot ett likvärdigt läkemedel</w:t>
      </w:r>
    </w:p>
    <w:p w:rsidR="009B38D1" w:rsidRPr="0006215F" w:rsidRDefault="009B38D1" w:rsidP="009B38D1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sådana övriga uppgifter som behövs för e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n säker hantering av läkemedlet</w:t>
      </w:r>
    </w:p>
    <w:p w:rsidR="009B38D1" w:rsidRPr="008B49EF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Doseringen ska anges i</w:t>
      </w:r>
    </w:p>
    <w:p w:rsidR="009B38D1" w:rsidRDefault="009B38D1" w:rsidP="009B38D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antal (tabletter </w:t>
      </w:r>
      <w:proofErr w:type="spellStart"/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etc</w:t>
      </w:r>
      <w:proofErr w:type="spellEnd"/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)</w:t>
      </w:r>
    </w:p>
    <w:p w:rsidR="009B38D1" w:rsidRPr="008B49EF" w:rsidRDefault="009B38D1" w:rsidP="009B38D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>volym per doseringstillfälle</w:t>
      </w:r>
    </w:p>
    <w:p w:rsidR="009B38D1" w:rsidRDefault="009B38D1" w:rsidP="009B38D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i/>
          <w:szCs w:val="24"/>
          <w:lang w:eastAsia="en-US"/>
        </w:rPr>
      </w:pPr>
    </w:p>
    <w:p w:rsidR="00AC2B64" w:rsidRDefault="009B38D1" w:rsidP="009B38D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i/>
          <w:szCs w:val="24"/>
          <w:lang w:eastAsia="en-US"/>
        </w:rPr>
      </w:pPr>
      <w:r w:rsidRPr="009B38D1">
        <w:rPr>
          <w:rFonts w:ascii="TimesNewRomanPSMT" w:eastAsiaTheme="minorHAnsi" w:hAnsi="TimesNewRomanPSMT" w:cs="TimesNewRomanPSMT"/>
          <w:i/>
          <w:szCs w:val="24"/>
          <w:lang w:eastAsia="en-US"/>
        </w:rPr>
        <w:t xml:space="preserve">I undantagsfall kan en dosering behöva anges i mängd aktiv substans per administreringstillfälle istället för volym för att bli tydlig. Dessa läkemedel ska noteras </w:t>
      </w:r>
      <w:r w:rsidR="00AA7EF4">
        <w:rPr>
          <w:rFonts w:ascii="TimesNewRomanPSMT" w:eastAsiaTheme="minorHAnsi" w:hAnsi="TimesNewRomanPSMT" w:cs="TimesNewRomanPSMT"/>
          <w:i/>
          <w:szCs w:val="24"/>
          <w:lang w:eastAsia="en-US"/>
        </w:rPr>
        <w:t>här:</w:t>
      </w:r>
    </w:p>
    <w:p w:rsidR="00AA7EF4" w:rsidRPr="009B38D1" w:rsidRDefault="00AA7EF4" w:rsidP="009B38D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i/>
          <w:szCs w:val="24"/>
          <w:lang w:eastAsia="en-US"/>
        </w:rPr>
      </w:pPr>
    </w:p>
    <w:p w:rsidR="009B38D1" w:rsidRDefault="009B38D1" w:rsidP="009B38D1">
      <w:pPr>
        <w:pStyle w:val="Rubrik2"/>
      </w:pPr>
      <w:r w:rsidRPr="00C94409">
        <w:t>Muntlig ordination</w:t>
      </w:r>
      <w:r>
        <w:t xml:space="preserve"> (inklusive telefonordination)</w:t>
      </w:r>
    </w:p>
    <w:p w:rsidR="009B38D1" w:rsidRPr="0006215F" w:rsidRDefault="009B38D1" w:rsidP="009B38D1">
      <w:pPr>
        <w:autoSpaceDE w:val="0"/>
        <w:autoSpaceDN w:val="0"/>
        <w:adjustRightInd w:val="0"/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Ett läkemedel får ordineras muntligen endast när en patient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behöver omedelbar behandling. </w:t>
      </w:r>
      <w:r w:rsidRPr="0006215F">
        <w:t>Vad ordinationen ska innehålla skiljer sig inte från skriftlig ordination.</w:t>
      </w:r>
    </w:p>
    <w:p w:rsidR="00AC2B64" w:rsidRDefault="00AC2B64" w:rsidP="00AC2B6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1"/>
          <w:szCs w:val="21"/>
          <w:lang w:eastAsia="en-US"/>
        </w:rPr>
      </w:pPr>
      <w:r w:rsidRPr="0006215F">
        <w:t>Grunden</w:t>
      </w:r>
      <w:r w:rsidRPr="008B49EF">
        <w:rPr>
          <w:rFonts w:ascii="TimesNewRomanPS-BoldMT" w:eastAsiaTheme="minorHAnsi" w:hAnsi="TimesNewRomanPS-BoldMT" w:cs="TimesNewRomanPS-BoldMT"/>
          <w:bCs/>
          <w:szCs w:val="24"/>
          <w:lang w:eastAsia="en-US"/>
        </w:rPr>
        <w:t xml:space="preserve"> är att den som givit muntlig ordination själv ska dokumentera den snarast. 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I undantagsfall kan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 det göras av en sjuksköterska. Sjuksköterskan ska då även dokumentera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namnet på den som har ordinerat läkemedlet och tidpunkten för ordinationen.</w:t>
      </w:r>
    </w:p>
    <w:p w:rsidR="009B38D1" w:rsidRDefault="009B38D1" w:rsidP="009B38D1">
      <w:pPr>
        <w:pStyle w:val="Rubrik2"/>
      </w:pPr>
      <w:r>
        <w:t>Uppföljning och avslut av läkemedelsbehandling</w:t>
      </w:r>
    </w:p>
    <w:p w:rsidR="009B38D1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>Vid ordination ska datum för avslut av läkemedelsbehandlingen bestämmas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,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eastAsia="en-US"/>
        </w:rPr>
        <w:t>a</w:t>
      </w:r>
      <w:r w:rsidRPr="008B49EF">
        <w:rPr>
          <w:rFonts w:ascii="TimesNewRomanPSMT" w:eastAsiaTheme="minorHAnsi" w:hAnsi="TimesNewRomanPSMT" w:cs="TimesNewRomanPSMT"/>
          <w:szCs w:val="24"/>
          <w:lang w:eastAsia="en-US"/>
        </w:rPr>
        <w:t xml:space="preserve">lternativt tidpunkt för uppföljning och nytt ställningstagande. </w:t>
      </w: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Detta ska dokumenteras. </w:t>
      </w:r>
      <w:r w:rsidR="004548AA">
        <w:rPr>
          <w:rFonts w:ascii="TimesNewRomanPSMT" w:eastAsiaTheme="minorHAnsi" w:hAnsi="TimesNewRomanPSMT" w:cs="TimesNewRomanPSMT"/>
          <w:szCs w:val="24"/>
          <w:lang w:eastAsia="en-US"/>
        </w:rPr>
        <w:br/>
      </w:r>
    </w:p>
    <w:p w:rsidR="009B38D1" w:rsidRPr="00620417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i/>
          <w:szCs w:val="24"/>
          <w:lang w:eastAsia="en-US"/>
        </w:rPr>
      </w:pPr>
      <w:r>
        <w:rPr>
          <w:rFonts w:ascii="TimesNewRomanPSMT" w:eastAsiaTheme="minorHAnsi" w:hAnsi="TimesNewRomanPSMT" w:cs="TimesNewRomanPSMT"/>
          <w:i/>
          <w:szCs w:val="24"/>
          <w:lang w:eastAsia="en-US"/>
        </w:rPr>
        <w:t>Beskriv här hur dokumentationen ska gå till:</w:t>
      </w:r>
    </w:p>
    <w:p w:rsidR="009B38D1" w:rsidRDefault="009B38D1" w:rsidP="009B38D1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1"/>
          <w:szCs w:val="21"/>
          <w:lang w:eastAsia="en-US"/>
        </w:rPr>
      </w:pPr>
    </w:p>
    <w:p w:rsidR="009B38D1" w:rsidRDefault="009B38D1" w:rsidP="009B38D1">
      <w:pPr>
        <w:spacing w:after="200" w:line="276" w:lineRule="auto"/>
        <w:rPr>
          <w:rFonts w:ascii="Arial" w:eastAsiaTheme="majorEastAsia" w:hAnsi="Arial" w:cstheme="majorBidi"/>
          <w:b/>
          <w:bCs/>
          <w:szCs w:val="26"/>
        </w:rPr>
      </w:pPr>
      <w:r>
        <w:br w:type="page"/>
      </w:r>
    </w:p>
    <w:p w:rsidR="009B38D1" w:rsidRPr="00D62539" w:rsidRDefault="009B38D1" w:rsidP="009B38D1">
      <w:pPr>
        <w:rPr>
          <w:rFonts w:ascii="Arial" w:hAnsi="Arial" w:cs="Arial"/>
        </w:rPr>
      </w:pPr>
    </w:p>
    <w:p w:rsidR="009B38D1" w:rsidRDefault="009B38D1" w:rsidP="009B38D1">
      <w:pPr>
        <w:pStyle w:val="Rubrik2"/>
      </w:pPr>
      <w:r w:rsidRPr="00C94409">
        <w:t>Dokumentation av ordination</w:t>
      </w:r>
    </w:p>
    <w:p w:rsidR="009B38D1" w:rsidRPr="005570DC" w:rsidRDefault="009B38D1" w:rsidP="009B38D1">
      <w:pPr>
        <w:rPr>
          <w:szCs w:val="24"/>
        </w:rPr>
      </w:pPr>
      <w:r w:rsidRPr="000444F7">
        <w:t>Läkemedelsordinationer ska dokumenteras skriftligt/elektroniskt i patientjournal</w:t>
      </w:r>
      <w:r>
        <w:t>.</w:t>
      </w:r>
      <w:r>
        <w:br/>
      </w:r>
      <w:r w:rsidRPr="00414D4D">
        <w:rPr>
          <w:szCs w:val="24"/>
        </w:rPr>
        <w:t>Dokumentationen säkerställs genom att ordinationen sker i T4 och recept skrivs i T4:s e-receptmodul.</w:t>
      </w:r>
    </w:p>
    <w:p w:rsidR="009B38D1" w:rsidRDefault="009B38D1" w:rsidP="009B38D1">
      <w:pPr>
        <w:rPr>
          <w:i/>
        </w:rPr>
      </w:pPr>
      <w:r>
        <w:rPr>
          <w:i/>
        </w:rPr>
        <w:t>Om andra</w:t>
      </w:r>
      <w:r w:rsidRPr="00B75167">
        <w:rPr>
          <w:i/>
        </w:rPr>
        <w:t xml:space="preserve"> ordinationshandlingar</w:t>
      </w:r>
      <w:r>
        <w:rPr>
          <w:i/>
        </w:rPr>
        <w:t xml:space="preserve"> än T4</w:t>
      </w:r>
      <w:r w:rsidRPr="00B75167">
        <w:rPr>
          <w:i/>
        </w:rPr>
        <w:t xml:space="preserve"> används på </w:t>
      </w:r>
      <w:r>
        <w:rPr>
          <w:i/>
        </w:rPr>
        <w:t>kliniken</w:t>
      </w:r>
      <w:r w:rsidRPr="00B75167">
        <w:rPr>
          <w:i/>
        </w:rPr>
        <w:t xml:space="preserve">, elektroniska såväl som papper, ska </w:t>
      </w:r>
      <w:r>
        <w:rPr>
          <w:i/>
        </w:rPr>
        <w:t xml:space="preserve">dessa </w:t>
      </w:r>
      <w:r w:rsidRPr="00B75167">
        <w:rPr>
          <w:i/>
        </w:rPr>
        <w:t>beskrivas</w:t>
      </w:r>
      <w:r>
        <w:rPr>
          <w:i/>
        </w:rPr>
        <w:t xml:space="preserve"> här:</w:t>
      </w:r>
    </w:p>
    <w:p w:rsidR="009B38D1" w:rsidRPr="00B75167" w:rsidRDefault="009B38D1" w:rsidP="009B38D1">
      <w:pPr>
        <w:rPr>
          <w:i/>
        </w:rPr>
      </w:pPr>
    </w:p>
    <w:p w:rsidR="009B38D1" w:rsidRPr="00820434" w:rsidRDefault="009B38D1" w:rsidP="009B38D1">
      <w:pPr>
        <w:pStyle w:val="Rubrik2"/>
      </w:pPr>
      <w:r>
        <w:t>Övrigt</w:t>
      </w:r>
    </w:p>
    <w:p w:rsidR="009B38D1" w:rsidRDefault="009B38D1" w:rsidP="009B38D1">
      <w:r w:rsidRPr="007077C4">
        <w:t>Läkemedelsverkets</w:t>
      </w:r>
      <w:r w:rsidR="00934CA8" w:rsidRPr="007077C4">
        <w:t xml:space="preserve"> föreskrifter</w:t>
      </w:r>
      <w:r w:rsidRPr="007077C4">
        <w:t xml:space="preserve"> om förordnande och utlämnande av läkemedel och teknisk sprit (HSLF-FS </w:t>
      </w:r>
      <w:r w:rsidR="00934CA8" w:rsidRPr="007077C4">
        <w:t>20</w:t>
      </w:r>
      <w:r w:rsidR="001A61FF">
        <w:t>21:75</w:t>
      </w:r>
      <w:r w:rsidRPr="007077C4">
        <w:rPr>
          <w:strike/>
        </w:rPr>
        <w:t xml:space="preserve"> </w:t>
      </w:r>
      <w:r w:rsidRPr="007077C4">
        <w:t>inkl</w:t>
      </w:r>
      <w:r w:rsidR="007077C4" w:rsidRPr="007077C4">
        <w:t>.</w:t>
      </w:r>
      <w:r w:rsidRPr="007077C4">
        <w:t xml:space="preserve"> ändrings</w:t>
      </w:r>
      <w:r w:rsidR="00934CA8" w:rsidRPr="007077C4">
        <w:t>föreskrifter</w:t>
      </w:r>
      <w:r w:rsidRPr="007077C4">
        <w:t>)</w:t>
      </w:r>
      <w:r w:rsidRPr="00820434">
        <w:t xml:space="preserve"> gäller vid receptförskrivning.</w:t>
      </w:r>
    </w:p>
    <w:p w:rsidR="009B38D1" w:rsidRDefault="009B38D1" w:rsidP="009B38D1"/>
    <w:p w:rsidR="008361B7" w:rsidRPr="007077C4" w:rsidRDefault="009B38D1" w:rsidP="008361B7">
      <w:pPr>
        <w:rPr>
          <w:szCs w:val="24"/>
        </w:rPr>
      </w:pPr>
      <w:r w:rsidRPr="00AC2B64"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Beställning av receptblanketter</w:t>
      </w:r>
      <w:r>
        <w:rPr>
          <w:b/>
          <w:szCs w:val="24"/>
        </w:rPr>
        <w:br/>
      </w:r>
      <w:r w:rsidR="008361B7" w:rsidRPr="007077C4">
        <w:rPr>
          <w:szCs w:val="24"/>
        </w:rPr>
        <w:t>Utfärdande av recept får göras på receptblankett i följande undantagsfall:</w:t>
      </w:r>
    </w:p>
    <w:p w:rsidR="008361B7" w:rsidRPr="007077C4" w:rsidRDefault="008361B7" w:rsidP="008361B7">
      <w:pPr>
        <w:pStyle w:val="Liststycke"/>
        <w:numPr>
          <w:ilvl w:val="0"/>
          <w:numId w:val="7"/>
        </w:numPr>
        <w:rPr>
          <w:szCs w:val="24"/>
        </w:rPr>
      </w:pPr>
      <w:r w:rsidRPr="007077C4">
        <w:rPr>
          <w:szCs w:val="24"/>
        </w:rPr>
        <w:t>Teknisk störning som omöjliggör elektronisk förskrivning</w:t>
      </w:r>
    </w:p>
    <w:p w:rsidR="008361B7" w:rsidRPr="007077C4" w:rsidRDefault="008361B7" w:rsidP="008361B7">
      <w:pPr>
        <w:pStyle w:val="Liststycke"/>
        <w:numPr>
          <w:ilvl w:val="0"/>
          <w:numId w:val="7"/>
        </w:numPr>
        <w:rPr>
          <w:szCs w:val="24"/>
        </w:rPr>
      </w:pPr>
      <w:r w:rsidRPr="007077C4">
        <w:rPr>
          <w:szCs w:val="24"/>
        </w:rPr>
        <w:t>Receptet är avsett att hämtas ut i annat EES-land</w:t>
      </w:r>
    </w:p>
    <w:p w:rsidR="008361B7" w:rsidRPr="007077C4" w:rsidRDefault="008361B7" w:rsidP="008361B7">
      <w:pPr>
        <w:pStyle w:val="Liststycke"/>
        <w:numPr>
          <w:ilvl w:val="0"/>
          <w:numId w:val="7"/>
        </w:numPr>
        <w:rPr>
          <w:szCs w:val="24"/>
        </w:rPr>
      </w:pPr>
      <w:r w:rsidRPr="007077C4">
        <w:rPr>
          <w:szCs w:val="24"/>
        </w:rPr>
        <w:t>Patient med särskilda skyddsbehov</w:t>
      </w:r>
    </w:p>
    <w:p w:rsidR="008361B7" w:rsidRPr="007077C4" w:rsidRDefault="008361B7" w:rsidP="008361B7">
      <w:pPr>
        <w:pStyle w:val="Liststycke"/>
        <w:numPr>
          <w:ilvl w:val="0"/>
          <w:numId w:val="7"/>
        </w:numPr>
        <w:rPr>
          <w:szCs w:val="24"/>
        </w:rPr>
      </w:pPr>
      <w:r w:rsidRPr="007077C4">
        <w:rPr>
          <w:szCs w:val="24"/>
        </w:rPr>
        <w:t>Annat särskilt skäl</w:t>
      </w:r>
    </w:p>
    <w:p w:rsidR="008361B7" w:rsidRDefault="008361B7" w:rsidP="009B38D1">
      <w:pPr>
        <w:rPr>
          <w:szCs w:val="24"/>
        </w:rPr>
      </w:pPr>
      <w:r w:rsidRPr="007077C4">
        <w:rPr>
          <w:szCs w:val="24"/>
        </w:rPr>
        <w:t xml:space="preserve">Att inte ha tillgång till elektroniskt </w:t>
      </w:r>
      <w:r w:rsidR="00934CA8" w:rsidRPr="007077C4">
        <w:rPr>
          <w:szCs w:val="24"/>
        </w:rPr>
        <w:t>förskrivningsverktyg är inte ”annat särskilt skäl”.</w:t>
      </w:r>
    </w:p>
    <w:p w:rsidR="009B38D1" w:rsidRDefault="009B38D1" w:rsidP="009B38D1">
      <w:r w:rsidRPr="00BF5581">
        <w:rPr>
          <w:bCs/>
          <w:szCs w:val="24"/>
        </w:rPr>
        <w:t xml:space="preserve">Rutiner för beställning av receptblanketter på </w:t>
      </w:r>
      <w:r w:rsidR="00AC2B64">
        <w:rPr>
          <w:bCs/>
          <w:szCs w:val="24"/>
        </w:rPr>
        <w:t xml:space="preserve">Region </w:t>
      </w:r>
      <w:r w:rsidRPr="00BF5581">
        <w:rPr>
          <w:bCs/>
          <w:szCs w:val="24"/>
        </w:rPr>
        <w:t>Kalmar</w:t>
      </w:r>
      <w:r w:rsidR="00AC2B64">
        <w:rPr>
          <w:bCs/>
          <w:szCs w:val="24"/>
        </w:rPr>
        <w:t xml:space="preserve"> läns</w:t>
      </w:r>
      <w:r w:rsidRPr="00BF5581">
        <w:rPr>
          <w:bCs/>
          <w:szCs w:val="24"/>
        </w:rPr>
        <w:t xml:space="preserve"> hemsida</w:t>
      </w:r>
      <w:r w:rsidR="001A61FF">
        <w:rPr>
          <w:bCs/>
          <w:szCs w:val="24"/>
        </w:rPr>
        <w:t xml:space="preserve"> för vårdgivare</w:t>
      </w:r>
      <w:r w:rsidRPr="00BF5581">
        <w:rPr>
          <w:bCs/>
          <w:szCs w:val="24"/>
        </w:rPr>
        <w:t>.</w:t>
      </w:r>
      <w:r w:rsidRPr="00BF5581">
        <w:rPr>
          <w:bCs/>
          <w:szCs w:val="24"/>
        </w:rPr>
        <w:br/>
      </w:r>
      <w:hyperlink r:id="rId8" w:anchor="heading-4" w:history="1">
        <w:r w:rsidR="001A61FF">
          <w:rPr>
            <w:rStyle w:val="Hyperlnk"/>
          </w:rPr>
          <w:t>Riktlinjer och rutin</w:t>
        </w:r>
        <w:r w:rsidR="001A61FF">
          <w:rPr>
            <w:rStyle w:val="Hyperlnk"/>
          </w:rPr>
          <w:t>e</w:t>
        </w:r>
        <w:r w:rsidR="001A61FF">
          <w:rPr>
            <w:rStyle w:val="Hyperlnk"/>
          </w:rPr>
          <w:t>r - För vårdgivare Region Kalmar län</w:t>
        </w:r>
      </w:hyperlink>
    </w:p>
    <w:p w:rsidR="009B38D1" w:rsidRDefault="009B38D1" w:rsidP="009B38D1"/>
    <w:p w:rsidR="009931D0" w:rsidRDefault="009931D0"/>
    <w:p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:rsidTr="000909E3">
        <w:trPr>
          <w:cantSplit/>
        </w:trPr>
        <w:tc>
          <w:tcPr>
            <w:tcW w:w="1508" w:type="dxa"/>
            <w:shd w:val="clear" w:color="auto" w:fill="CCCCCC"/>
          </w:tcPr>
          <w:p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:rsidTr="000909E3">
        <w:trPr>
          <w:cantSplit/>
        </w:trPr>
        <w:tc>
          <w:tcPr>
            <w:tcW w:w="1508" w:type="dxa"/>
            <w:shd w:val="clear" w:color="auto" w:fill="auto"/>
          </w:tcPr>
          <w:p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:rsidR="008B3B89" w:rsidRPr="00544FDF" w:rsidRDefault="008B3B89" w:rsidP="00934CA8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</w:t>
            </w:r>
            <w:r w:rsidRPr="00EB1CB3">
              <w:rPr>
                <w:rFonts w:ascii="Arial" w:hAnsi="Arial" w:cs="Arial"/>
                <w:sz w:val="16"/>
                <w:szCs w:val="16"/>
              </w:rPr>
              <w:t xml:space="preserve">riktlinjer </w:t>
            </w:r>
            <w:r w:rsidR="004B31AA">
              <w:rPr>
                <w:rFonts w:ascii="Arial" w:hAnsi="Arial" w:cs="Arial"/>
                <w:sz w:val="16"/>
                <w:szCs w:val="16"/>
              </w:rPr>
              <w:t>2023-09-01</w:t>
            </w:r>
          </w:p>
        </w:tc>
        <w:tc>
          <w:tcPr>
            <w:tcW w:w="3020" w:type="dxa"/>
            <w:shd w:val="clear" w:color="auto" w:fill="auto"/>
          </w:tcPr>
          <w:p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8E1" w:rsidRDefault="00EE48E1" w:rsidP="005F33C1">
      <w:r>
        <w:separator/>
      </w:r>
    </w:p>
  </w:endnote>
  <w:endnote w:type="continuationSeparator" w:id="0">
    <w:p w:rsidR="00EE48E1" w:rsidRDefault="00EE48E1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31AA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7077C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7077C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31AA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7077C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7077C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8E1" w:rsidRDefault="00EE48E1" w:rsidP="005F33C1">
      <w:r>
        <w:separator/>
      </w:r>
    </w:p>
  </w:footnote>
  <w:footnote w:type="continuationSeparator" w:id="0">
    <w:p w:rsidR="00EE48E1" w:rsidRDefault="00EE48E1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6D5430A" wp14:editId="7E79BF27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2D00E06A" wp14:editId="15AE20C5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Läkemedelshantering </w:t>
    </w:r>
    <w:r w:rsidR="00B62F48">
      <w:rPr>
        <w:b/>
        <w:sz w:val="16"/>
        <w:szCs w:val="16"/>
      </w:rPr>
      <w:t>–</w:t>
    </w:r>
    <w:r>
      <w:rPr>
        <w:b/>
        <w:sz w:val="16"/>
        <w:szCs w:val="16"/>
      </w:rPr>
      <w:t xml:space="preserve"> </w:t>
    </w:r>
    <w:r w:rsidR="00B62F48">
      <w:rPr>
        <w:b/>
        <w:sz w:val="16"/>
        <w:szCs w:val="16"/>
      </w:rPr>
      <w:t>Ordination av läkemedel</w:t>
    </w:r>
  </w:p>
  <w:p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proofErr w:type="spellStart"/>
    <w:r w:rsidRPr="008C59EA">
      <w:rPr>
        <w:b/>
        <w:sz w:val="16"/>
        <w:szCs w:val="16"/>
      </w:rPr>
      <w:t>Godkännare</w:t>
    </w:r>
    <w:proofErr w:type="spellEnd"/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C47C0"/>
    <w:multiLevelType w:val="multilevel"/>
    <w:tmpl w:val="BC58206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6EFB"/>
    <w:multiLevelType w:val="hybridMultilevel"/>
    <w:tmpl w:val="B0AE8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0449">
    <w:abstractNumId w:val="2"/>
  </w:num>
  <w:num w:numId="2" w16cid:durableId="761688049">
    <w:abstractNumId w:val="1"/>
  </w:num>
  <w:num w:numId="3" w16cid:durableId="1004743723">
    <w:abstractNumId w:val="4"/>
  </w:num>
  <w:num w:numId="4" w16cid:durableId="1301232246">
    <w:abstractNumId w:val="0"/>
  </w:num>
  <w:num w:numId="5" w16cid:durableId="1706127736">
    <w:abstractNumId w:val="6"/>
  </w:num>
  <w:num w:numId="6" w16cid:durableId="1429305247">
    <w:abstractNumId w:val="3"/>
  </w:num>
  <w:num w:numId="7" w16cid:durableId="1396197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6316E"/>
    <w:rsid w:val="00063C40"/>
    <w:rsid w:val="000826C6"/>
    <w:rsid w:val="000909E3"/>
    <w:rsid w:val="000A7979"/>
    <w:rsid w:val="000B7474"/>
    <w:rsid w:val="000D7D39"/>
    <w:rsid w:val="000E30DF"/>
    <w:rsid w:val="000F0F75"/>
    <w:rsid w:val="00103E2A"/>
    <w:rsid w:val="00130C00"/>
    <w:rsid w:val="0013544D"/>
    <w:rsid w:val="001A3B8C"/>
    <w:rsid w:val="001A4799"/>
    <w:rsid w:val="001A61FF"/>
    <w:rsid w:val="001D134A"/>
    <w:rsid w:val="0025079F"/>
    <w:rsid w:val="00262474"/>
    <w:rsid w:val="00265372"/>
    <w:rsid w:val="00283F3D"/>
    <w:rsid w:val="00295AAC"/>
    <w:rsid w:val="002A1E66"/>
    <w:rsid w:val="002A6162"/>
    <w:rsid w:val="002B77C0"/>
    <w:rsid w:val="002C35DA"/>
    <w:rsid w:val="002E1276"/>
    <w:rsid w:val="00322238"/>
    <w:rsid w:val="00347CFE"/>
    <w:rsid w:val="003753EC"/>
    <w:rsid w:val="003821F8"/>
    <w:rsid w:val="003A4851"/>
    <w:rsid w:val="003B0A27"/>
    <w:rsid w:val="003B4758"/>
    <w:rsid w:val="003C0E5E"/>
    <w:rsid w:val="003D22A2"/>
    <w:rsid w:val="003D7A96"/>
    <w:rsid w:val="003F07D2"/>
    <w:rsid w:val="00414D4D"/>
    <w:rsid w:val="00417526"/>
    <w:rsid w:val="00431E88"/>
    <w:rsid w:val="004548AA"/>
    <w:rsid w:val="0046305E"/>
    <w:rsid w:val="00463E37"/>
    <w:rsid w:val="004664B2"/>
    <w:rsid w:val="00474B8B"/>
    <w:rsid w:val="00487417"/>
    <w:rsid w:val="004A79F9"/>
    <w:rsid w:val="004B31AA"/>
    <w:rsid w:val="004C1030"/>
    <w:rsid w:val="004E2449"/>
    <w:rsid w:val="004E5153"/>
    <w:rsid w:val="004E7383"/>
    <w:rsid w:val="004E7BB1"/>
    <w:rsid w:val="00522158"/>
    <w:rsid w:val="00533669"/>
    <w:rsid w:val="00557FA8"/>
    <w:rsid w:val="0059246F"/>
    <w:rsid w:val="005B3592"/>
    <w:rsid w:val="005D6783"/>
    <w:rsid w:val="005E4850"/>
    <w:rsid w:val="005F33C1"/>
    <w:rsid w:val="006324FE"/>
    <w:rsid w:val="00643A34"/>
    <w:rsid w:val="00645C56"/>
    <w:rsid w:val="0066538B"/>
    <w:rsid w:val="00677A53"/>
    <w:rsid w:val="00696DB1"/>
    <w:rsid w:val="006A613C"/>
    <w:rsid w:val="006C6321"/>
    <w:rsid w:val="006C77C0"/>
    <w:rsid w:val="006F4A11"/>
    <w:rsid w:val="007077C4"/>
    <w:rsid w:val="00715B5F"/>
    <w:rsid w:val="0073505B"/>
    <w:rsid w:val="00763A80"/>
    <w:rsid w:val="007809DA"/>
    <w:rsid w:val="00797267"/>
    <w:rsid w:val="007A34B3"/>
    <w:rsid w:val="007C49A2"/>
    <w:rsid w:val="007C7EC6"/>
    <w:rsid w:val="007F2F57"/>
    <w:rsid w:val="008049F5"/>
    <w:rsid w:val="008361B7"/>
    <w:rsid w:val="00852D8A"/>
    <w:rsid w:val="008674F1"/>
    <w:rsid w:val="008762E6"/>
    <w:rsid w:val="00881588"/>
    <w:rsid w:val="008B3B89"/>
    <w:rsid w:val="008C59EA"/>
    <w:rsid w:val="008F45E7"/>
    <w:rsid w:val="00900D0C"/>
    <w:rsid w:val="00912361"/>
    <w:rsid w:val="0091596C"/>
    <w:rsid w:val="00931D5D"/>
    <w:rsid w:val="00934CA8"/>
    <w:rsid w:val="00952A74"/>
    <w:rsid w:val="00985503"/>
    <w:rsid w:val="009931D0"/>
    <w:rsid w:val="00993E8F"/>
    <w:rsid w:val="00994B6B"/>
    <w:rsid w:val="009B38D1"/>
    <w:rsid w:val="009E3B63"/>
    <w:rsid w:val="00A13F1C"/>
    <w:rsid w:val="00A41311"/>
    <w:rsid w:val="00A42771"/>
    <w:rsid w:val="00A75B58"/>
    <w:rsid w:val="00AA25F3"/>
    <w:rsid w:val="00AA7EF4"/>
    <w:rsid w:val="00AC1557"/>
    <w:rsid w:val="00AC2B64"/>
    <w:rsid w:val="00AC38D9"/>
    <w:rsid w:val="00AD63DE"/>
    <w:rsid w:val="00B10994"/>
    <w:rsid w:val="00B16E59"/>
    <w:rsid w:val="00B62F48"/>
    <w:rsid w:val="00B71E10"/>
    <w:rsid w:val="00B75F08"/>
    <w:rsid w:val="00B87BB7"/>
    <w:rsid w:val="00B930CF"/>
    <w:rsid w:val="00BA2FA4"/>
    <w:rsid w:val="00BF7950"/>
    <w:rsid w:val="00C20ED3"/>
    <w:rsid w:val="00C34837"/>
    <w:rsid w:val="00C449B9"/>
    <w:rsid w:val="00C56031"/>
    <w:rsid w:val="00C86C24"/>
    <w:rsid w:val="00C9169A"/>
    <w:rsid w:val="00C954E9"/>
    <w:rsid w:val="00CB71D2"/>
    <w:rsid w:val="00CD7F64"/>
    <w:rsid w:val="00CF323A"/>
    <w:rsid w:val="00D02E85"/>
    <w:rsid w:val="00D05979"/>
    <w:rsid w:val="00D238BF"/>
    <w:rsid w:val="00D6121A"/>
    <w:rsid w:val="00D62539"/>
    <w:rsid w:val="00DC199D"/>
    <w:rsid w:val="00DD6AC8"/>
    <w:rsid w:val="00DE378C"/>
    <w:rsid w:val="00DE4945"/>
    <w:rsid w:val="00E308D5"/>
    <w:rsid w:val="00E45643"/>
    <w:rsid w:val="00E51E5C"/>
    <w:rsid w:val="00E62C65"/>
    <w:rsid w:val="00E913FD"/>
    <w:rsid w:val="00E920AB"/>
    <w:rsid w:val="00EB1CB3"/>
    <w:rsid w:val="00ED6AAD"/>
    <w:rsid w:val="00EE48E1"/>
    <w:rsid w:val="00F24040"/>
    <w:rsid w:val="00F25F6F"/>
    <w:rsid w:val="00F26D10"/>
    <w:rsid w:val="00F36EA5"/>
    <w:rsid w:val="00F429FD"/>
    <w:rsid w:val="00F43F8C"/>
    <w:rsid w:val="00F759FD"/>
    <w:rsid w:val="00F8332B"/>
    <w:rsid w:val="00FA7D91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B122A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361B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regionkalmar.se/vard--behandling/lakemedel/riktlinjer-och-rutin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8D8B-56CB-4C68-9515-7B9531DC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8</TotalTime>
  <Pages>3</Pages>
  <Words>695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5</cp:revision>
  <cp:lastPrinted>2018-12-18T12:12:00Z</cp:lastPrinted>
  <dcterms:created xsi:type="dcterms:W3CDTF">2021-04-26T13:59:00Z</dcterms:created>
  <dcterms:modified xsi:type="dcterms:W3CDTF">2024-06-12T07:32:00Z</dcterms:modified>
</cp:coreProperties>
</file>