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746D" w14:textId="77777777" w:rsidR="001011B5" w:rsidRDefault="001011B5" w:rsidP="001011B5">
      <w:pPr>
        <w:pStyle w:val="Default"/>
      </w:pPr>
    </w:p>
    <w:p w14:paraId="3FC9E9B6" w14:textId="77777777" w:rsidR="001011B5" w:rsidRDefault="001011B5" w:rsidP="001011B5">
      <w:pPr>
        <w:pStyle w:val="Default"/>
      </w:pPr>
    </w:p>
    <w:p w14:paraId="68119D86" w14:textId="77777777" w:rsidR="001011B5" w:rsidRDefault="001011B5" w:rsidP="001011B5">
      <w:pPr>
        <w:pStyle w:val="Default"/>
      </w:pPr>
    </w:p>
    <w:p w14:paraId="4854E72F" w14:textId="77777777" w:rsidR="001011B5" w:rsidRDefault="001011B5" w:rsidP="001011B5">
      <w:pPr>
        <w:pStyle w:val="Default"/>
        <w:rPr>
          <w:sz w:val="18"/>
          <w:szCs w:val="18"/>
        </w:rPr>
      </w:pPr>
    </w:p>
    <w:p w14:paraId="34BAE8E2" w14:textId="77777777" w:rsidR="001011B5" w:rsidRDefault="001011B5" w:rsidP="001011B5">
      <w:pPr>
        <w:pStyle w:val="Default"/>
        <w:rPr>
          <w:sz w:val="18"/>
          <w:szCs w:val="18"/>
        </w:rPr>
      </w:pPr>
    </w:p>
    <w:p w14:paraId="03109435" w14:textId="77777777" w:rsidR="00184D62" w:rsidRDefault="00184D62" w:rsidP="001011B5">
      <w:pPr>
        <w:pStyle w:val="Default"/>
        <w:rPr>
          <w:sz w:val="18"/>
          <w:szCs w:val="18"/>
        </w:rPr>
      </w:pPr>
    </w:p>
    <w:p w14:paraId="1511AB0C" w14:textId="77777777" w:rsidR="00184D62" w:rsidRDefault="00184D62" w:rsidP="001011B5">
      <w:pPr>
        <w:pStyle w:val="Default"/>
        <w:rPr>
          <w:sz w:val="18"/>
          <w:szCs w:val="18"/>
        </w:rPr>
      </w:pPr>
    </w:p>
    <w:p w14:paraId="4454A7CA" w14:textId="77777777" w:rsidR="00184D62" w:rsidRDefault="00184D62" w:rsidP="001011B5">
      <w:pPr>
        <w:pStyle w:val="Default"/>
        <w:rPr>
          <w:sz w:val="18"/>
          <w:szCs w:val="18"/>
        </w:rPr>
      </w:pPr>
    </w:p>
    <w:p w14:paraId="1F71FA80" w14:textId="77777777" w:rsidR="00184D62" w:rsidRDefault="00184D62" w:rsidP="001011B5">
      <w:pPr>
        <w:pStyle w:val="Default"/>
        <w:rPr>
          <w:sz w:val="18"/>
          <w:szCs w:val="18"/>
        </w:rPr>
      </w:pPr>
    </w:p>
    <w:p w14:paraId="11A31CCD" w14:textId="77777777" w:rsidR="00184D62" w:rsidRDefault="00184D62" w:rsidP="001011B5">
      <w:pPr>
        <w:pStyle w:val="Default"/>
        <w:rPr>
          <w:sz w:val="18"/>
          <w:szCs w:val="18"/>
        </w:rPr>
      </w:pPr>
    </w:p>
    <w:p w14:paraId="13E99EB6" w14:textId="77777777" w:rsidR="00184D62" w:rsidRDefault="00184D62" w:rsidP="001011B5">
      <w:pPr>
        <w:pStyle w:val="Default"/>
        <w:rPr>
          <w:sz w:val="18"/>
          <w:szCs w:val="18"/>
        </w:rPr>
      </w:pPr>
    </w:p>
    <w:p w14:paraId="68303F2E" w14:textId="77777777" w:rsidR="00184D62" w:rsidRDefault="00184D62" w:rsidP="001011B5">
      <w:pPr>
        <w:pStyle w:val="Default"/>
        <w:rPr>
          <w:sz w:val="18"/>
          <w:szCs w:val="18"/>
        </w:rPr>
      </w:pPr>
    </w:p>
    <w:p w14:paraId="4DB56695" w14:textId="77777777" w:rsidR="00184D62" w:rsidRDefault="00184D62" w:rsidP="001011B5">
      <w:pPr>
        <w:pStyle w:val="Default"/>
        <w:rPr>
          <w:sz w:val="18"/>
          <w:szCs w:val="18"/>
        </w:rPr>
      </w:pPr>
    </w:p>
    <w:p w14:paraId="3AD819F4" w14:textId="77777777" w:rsidR="00184D62" w:rsidRDefault="00184D62" w:rsidP="001011B5">
      <w:pPr>
        <w:pStyle w:val="Default"/>
        <w:rPr>
          <w:sz w:val="18"/>
          <w:szCs w:val="18"/>
        </w:rPr>
      </w:pPr>
    </w:p>
    <w:p w14:paraId="6610D595" w14:textId="77777777" w:rsidR="001011B5" w:rsidRDefault="001011B5" w:rsidP="001011B5">
      <w:pPr>
        <w:pStyle w:val="Default"/>
        <w:rPr>
          <w:color w:val="auto"/>
        </w:rPr>
      </w:pPr>
    </w:p>
    <w:p w14:paraId="4CC2255F" w14:textId="77777777" w:rsidR="00184D62" w:rsidRPr="00406160" w:rsidRDefault="00184D62" w:rsidP="00184D62">
      <w:pPr>
        <w:autoSpaceDE w:val="0"/>
        <w:autoSpaceDN w:val="0"/>
        <w:adjustRightInd w:val="0"/>
        <w:spacing w:after="0" w:line="240" w:lineRule="auto"/>
        <w:jc w:val="center"/>
        <w:rPr>
          <w:rFonts w:ascii="CIDFont+F2" w:hAnsi="CIDFont+F2" w:cs="CIDFont+F2"/>
          <w:sz w:val="74"/>
          <w:szCs w:val="74"/>
        </w:rPr>
      </w:pPr>
      <w:r w:rsidRPr="00406160">
        <w:rPr>
          <w:rFonts w:ascii="CIDFont+F2" w:hAnsi="CIDFont+F2" w:cs="CIDFont+F2"/>
          <w:sz w:val="74"/>
          <w:szCs w:val="74"/>
        </w:rPr>
        <w:t>MittVaccin Journal</w:t>
      </w:r>
    </w:p>
    <w:p w14:paraId="4F2099EF" w14:textId="77777777" w:rsidR="00184D62" w:rsidRPr="00406160" w:rsidRDefault="00184D62" w:rsidP="00184D62">
      <w:pPr>
        <w:autoSpaceDE w:val="0"/>
        <w:autoSpaceDN w:val="0"/>
        <w:adjustRightInd w:val="0"/>
        <w:spacing w:after="0" w:line="240" w:lineRule="auto"/>
        <w:jc w:val="center"/>
        <w:rPr>
          <w:rFonts w:ascii="CIDFont+F1" w:hAnsi="CIDFont+F1" w:cs="CIDFont+F1"/>
          <w:sz w:val="66"/>
          <w:szCs w:val="66"/>
        </w:rPr>
      </w:pPr>
      <w:r w:rsidRPr="00406160">
        <w:rPr>
          <w:rFonts w:ascii="CIDFont+F1" w:hAnsi="CIDFont+F1" w:cs="CIDFont+F1"/>
          <w:sz w:val="66"/>
          <w:szCs w:val="66"/>
        </w:rPr>
        <w:t>Release Notes</w:t>
      </w:r>
    </w:p>
    <w:p w14:paraId="2FCE0B0E" w14:textId="77777777" w:rsidR="00184D62" w:rsidRDefault="00184D62" w:rsidP="00184D62">
      <w:pPr>
        <w:pStyle w:val="Default"/>
        <w:jc w:val="center"/>
        <w:rPr>
          <w:sz w:val="56"/>
          <w:szCs w:val="56"/>
        </w:rPr>
      </w:pPr>
      <w:r w:rsidRPr="00406160">
        <w:rPr>
          <w:rFonts w:ascii="CIDFont+F1" w:hAnsi="CIDFont+F1" w:cs="CIDFont+F1"/>
          <w:sz w:val="33"/>
          <w:szCs w:val="33"/>
        </w:rPr>
        <w:t>20</w:t>
      </w:r>
      <w:r>
        <w:rPr>
          <w:rFonts w:ascii="CIDFont+F1" w:hAnsi="CIDFont+F1" w:cs="CIDFont+F1"/>
          <w:sz w:val="33"/>
          <w:szCs w:val="33"/>
        </w:rPr>
        <w:t>24</w:t>
      </w:r>
      <w:r w:rsidRPr="00406160">
        <w:rPr>
          <w:rFonts w:ascii="CIDFont+F1" w:hAnsi="CIDFont+F1" w:cs="CIDFont+F1"/>
          <w:sz w:val="33"/>
          <w:szCs w:val="33"/>
        </w:rPr>
        <w:t>-</w:t>
      </w:r>
      <w:r>
        <w:rPr>
          <w:rFonts w:ascii="CIDFont+F1" w:hAnsi="CIDFont+F1" w:cs="CIDFont+F1"/>
          <w:sz w:val="33"/>
          <w:szCs w:val="33"/>
        </w:rPr>
        <w:t>0</w:t>
      </w:r>
      <w:r>
        <w:rPr>
          <w:rFonts w:ascii="CIDFont+F1" w:hAnsi="CIDFont+F1" w:cs="CIDFont+F1"/>
          <w:sz w:val="33"/>
          <w:szCs w:val="33"/>
        </w:rPr>
        <w:t>4</w:t>
      </w:r>
      <w:r w:rsidRPr="00406160">
        <w:rPr>
          <w:rFonts w:ascii="CIDFont+F1" w:hAnsi="CIDFont+F1" w:cs="CIDFont+F1"/>
          <w:sz w:val="33"/>
          <w:szCs w:val="33"/>
        </w:rPr>
        <w:t>-</w:t>
      </w:r>
      <w:r>
        <w:rPr>
          <w:rFonts w:ascii="CIDFont+F1" w:hAnsi="CIDFont+F1" w:cs="CIDFont+F1"/>
          <w:sz w:val="33"/>
          <w:szCs w:val="33"/>
        </w:rPr>
        <w:t>2</w:t>
      </w:r>
      <w:r>
        <w:rPr>
          <w:rFonts w:ascii="CIDFont+F1" w:hAnsi="CIDFont+F1" w:cs="CIDFont+F1"/>
          <w:sz w:val="33"/>
          <w:szCs w:val="33"/>
        </w:rPr>
        <w:t>3</w:t>
      </w:r>
    </w:p>
    <w:p w14:paraId="7F6DB0EF" w14:textId="77777777" w:rsidR="00184D62" w:rsidRDefault="00184D62">
      <w:pPr>
        <w:rPr>
          <w:rFonts w:ascii="Calibri" w:hAnsi="Calibri" w:cs="Calibri"/>
          <w:color w:val="000000"/>
          <w:sz w:val="56"/>
          <w:szCs w:val="56"/>
        </w:rPr>
      </w:pPr>
      <w:r>
        <w:rPr>
          <w:sz w:val="56"/>
          <w:szCs w:val="56"/>
        </w:rPr>
        <w:br w:type="page"/>
      </w:r>
    </w:p>
    <w:p w14:paraId="2B404CB6" w14:textId="17FADE2C" w:rsidR="001011B5" w:rsidRPr="00184D62" w:rsidRDefault="001011B5" w:rsidP="00184D62">
      <w:pPr>
        <w:pStyle w:val="Default"/>
        <w:rPr>
          <w:sz w:val="56"/>
          <w:szCs w:val="56"/>
        </w:rPr>
      </w:pPr>
      <w:r>
        <w:rPr>
          <w:b/>
          <w:bCs/>
          <w:sz w:val="40"/>
          <w:szCs w:val="40"/>
        </w:rPr>
        <w:lastRenderedPageBreak/>
        <w:t xml:space="preserve">Grunddata </w:t>
      </w:r>
    </w:p>
    <w:p w14:paraId="5CCB9CB6" w14:textId="2914240C" w:rsidR="001011B5" w:rsidRDefault="001011B5" w:rsidP="00F11D4E">
      <w:pPr>
        <w:pStyle w:val="Default"/>
        <w:numPr>
          <w:ilvl w:val="0"/>
          <w:numId w:val="12"/>
        </w:numPr>
        <w:spacing w:after="140"/>
        <w:rPr>
          <w:sz w:val="23"/>
          <w:szCs w:val="23"/>
        </w:rPr>
      </w:pPr>
      <w:r>
        <w:rPr>
          <w:sz w:val="23"/>
          <w:szCs w:val="23"/>
        </w:rPr>
        <w:t xml:space="preserve">MittVaccin har nu en integration mot Statens personadressregister (SPAR) som alternativ till </w:t>
      </w:r>
      <w:proofErr w:type="spellStart"/>
      <w:r>
        <w:rPr>
          <w:sz w:val="23"/>
          <w:szCs w:val="23"/>
        </w:rPr>
        <w:t>Ineras</w:t>
      </w:r>
      <w:proofErr w:type="spellEnd"/>
      <w:r>
        <w:rPr>
          <w:sz w:val="23"/>
          <w:szCs w:val="23"/>
        </w:rPr>
        <w:t xml:space="preserve"> Personuppgiftstjänst (PU-tjänst). </w:t>
      </w:r>
    </w:p>
    <w:p w14:paraId="0A47CD9C" w14:textId="7E6643D5" w:rsidR="001011B5" w:rsidRDefault="001011B5" w:rsidP="00184D62">
      <w:pPr>
        <w:pStyle w:val="Default"/>
        <w:numPr>
          <w:ilvl w:val="0"/>
          <w:numId w:val="12"/>
        </w:numPr>
        <w:spacing w:after="140"/>
        <w:rPr>
          <w:sz w:val="23"/>
          <w:szCs w:val="23"/>
        </w:rPr>
      </w:pPr>
      <w:r>
        <w:rPr>
          <w:sz w:val="23"/>
          <w:szCs w:val="23"/>
        </w:rPr>
        <w:t>Det går återigen att söka på tiosiffriga personnummer i sök kund och i andra sökdialoger i systemet</w:t>
      </w:r>
      <w:r w:rsidR="00184D62">
        <w:rPr>
          <w:sz w:val="23"/>
          <w:szCs w:val="23"/>
        </w:rPr>
        <w:t>.</w:t>
      </w:r>
      <w:r>
        <w:rPr>
          <w:sz w:val="23"/>
          <w:szCs w:val="23"/>
        </w:rPr>
        <w:t xml:space="preserve"> </w:t>
      </w:r>
    </w:p>
    <w:p w14:paraId="290E2D0E" w14:textId="77777777" w:rsidR="001011B5" w:rsidRDefault="001011B5" w:rsidP="001011B5">
      <w:pPr>
        <w:pStyle w:val="Default"/>
        <w:rPr>
          <w:sz w:val="23"/>
          <w:szCs w:val="23"/>
        </w:rPr>
      </w:pPr>
    </w:p>
    <w:p w14:paraId="75C8266C" w14:textId="4C2C5C58" w:rsidR="00505DDE" w:rsidRDefault="001011B5" w:rsidP="00505DDE">
      <w:pPr>
        <w:rPr>
          <w:sz w:val="23"/>
          <w:szCs w:val="23"/>
        </w:rPr>
      </w:pPr>
      <w:r w:rsidRPr="00505DDE">
        <w:rPr>
          <w:b/>
          <w:bCs/>
          <w:sz w:val="40"/>
          <w:szCs w:val="40"/>
        </w:rPr>
        <w:t>Vaccination</w:t>
      </w:r>
    </w:p>
    <w:p w14:paraId="4D938D46" w14:textId="0617CDA3" w:rsidR="001011B5" w:rsidRPr="00505DDE" w:rsidRDefault="001011B5" w:rsidP="00505DDE">
      <w:pPr>
        <w:pStyle w:val="Liststycke"/>
        <w:numPr>
          <w:ilvl w:val="0"/>
          <w:numId w:val="12"/>
        </w:numPr>
        <w:rPr>
          <w:b/>
          <w:bCs/>
          <w:sz w:val="40"/>
          <w:szCs w:val="40"/>
        </w:rPr>
      </w:pPr>
      <w:r w:rsidRPr="00505DDE">
        <w:rPr>
          <w:sz w:val="23"/>
          <w:szCs w:val="23"/>
        </w:rPr>
        <w:t xml:space="preserve">När vaccination genomförs med grund i samtycke eller mognadsbedömning skapas en vaccinationsanteckning med uppgift om samtycke givits eller om mognadsbedömning gjorts. När det finns uppgifter om vilken/vilka vårdnadshavare som givit samtycke anges även det i anteckningen. </w:t>
      </w:r>
    </w:p>
    <w:p w14:paraId="64D4864A" w14:textId="3751DE42" w:rsidR="00184D62" w:rsidRDefault="001011B5" w:rsidP="00184D62">
      <w:pPr>
        <w:pStyle w:val="Default"/>
        <w:numPr>
          <w:ilvl w:val="0"/>
          <w:numId w:val="12"/>
        </w:numPr>
        <w:spacing w:after="140"/>
        <w:rPr>
          <w:sz w:val="23"/>
          <w:szCs w:val="23"/>
        </w:rPr>
      </w:pPr>
      <w:r>
        <w:rPr>
          <w:sz w:val="23"/>
          <w:szCs w:val="23"/>
        </w:rPr>
        <w:t>När vaccination genomförs och patienten är under 18 år behöver personal dokumentera på vilken grund vaccinationen görs, detta gäller även om samtycke lämnats från alla vårdnadshavare. När patienten är mellan 13 och 18 år är det möjligt att dokumentera en genomförd mognadsbedömning. Det går att genomföra vaccination i följande lägen</w:t>
      </w:r>
      <w:r w:rsidR="00184D62">
        <w:rPr>
          <w:sz w:val="23"/>
          <w:szCs w:val="23"/>
        </w:rPr>
        <w:t>:</w:t>
      </w:r>
    </w:p>
    <w:p w14:paraId="309F8D0C" w14:textId="60A5E298" w:rsidR="001011B5" w:rsidRDefault="001011B5" w:rsidP="00505DDE">
      <w:pPr>
        <w:pStyle w:val="Default"/>
        <w:numPr>
          <w:ilvl w:val="2"/>
          <w:numId w:val="13"/>
        </w:numPr>
        <w:spacing w:after="140"/>
        <w:rPr>
          <w:sz w:val="23"/>
          <w:szCs w:val="23"/>
        </w:rPr>
      </w:pPr>
      <w:r>
        <w:rPr>
          <w:sz w:val="23"/>
          <w:szCs w:val="23"/>
        </w:rPr>
        <w:t xml:space="preserve">Samtycke från endast en vårdnadshavare </w:t>
      </w:r>
    </w:p>
    <w:p w14:paraId="73F2DE4C" w14:textId="51E1DB46" w:rsidR="001011B5" w:rsidRDefault="001011B5" w:rsidP="00505DDE">
      <w:pPr>
        <w:pStyle w:val="Default"/>
        <w:numPr>
          <w:ilvl w:val="2"/>
          <w:numId w:val="13"/>
        </w:numPr>
        <w:spacing w:after="140"/>
        <w:rPr>
          <w:sz w:val="23"/>
          <w:szCs w:val="23"/>
        </w:rPr>
      </w:pPr>
      <w:r>
        <w:rPr>
          <w:sz w:val="23"/>
          <w:szCs w:val="23"/>
        </w:rPr>
        <w:t xml:space="preserve">Samtycke från båda vårdnadshavare </w:t>
      </w:r>
    </w:p>
    <w:p w14:paraId="4746FAC0" w14:textId="597AAA3D" w:rsidR="001011B5" w:rsidRDefault="001011B5" w:rsidP="00505DDE">
      <w:pPr>
        <w:pStyle w:val="Default"/>
        <w:numPr>
          <w:ilvl w:val="2"/>
          <w:numId w:val="13"/>
        </w:numPr>
        <w:rPr>
          <w:sz w:val="23"/>
          <w:szCs w:val="23"/>
        </w:rPr>
      </w:pPr>
      <w:r>
        <w:rPr>
          <w:sz w:val="23"/>
          <w:szCs w:val="23"/>
        </w:rPr>
        <w:t xml:space="preserve">Inget samtycke + mognadsbedömning </w:t>
      </w:r>
    </w:p>
    <w:p w14:paraId="551A358E" w14:textId="77777777" w:rsidR="00184D62" w:rsidRDefault="00184D62" w:rsidP="00184D62">
      <w:pPr>
        <w:pStyle w:val="Default"/>
        <w:rPr>
          <w:sz w:val="23"/>
          <w:szCs w:val="23"/>
        </w:rPr>
      </w:pPr>
    </w:p>
    <w:p w14:paraId="0BC66CE8" w14:textId="2DDCCB76" w:rsidR="001011B5" w:rsidRPr="00184D62" w:rsidRDefault="001011B5" w:rsidP="00184D62">
      <w:pPr>
        <w:pStyle w:val="Default"/>
        <w:numPr>
          <w:ilvl w:val="0"/>
          <w:numId w:val="12"/>
        </w:numPr>
        <w:rPr>
          <w:sz w:val="23"/>
          <w:szCs w:val="23"/>
        </w:rPr>
      </w:pPr>
      <w:r w:rsidRPr="00184D62">
        <w:rPr>
          <w:sz w:val="23"/>
          <w:szCs w:val="23"/>
        </w:rPr>
        <w:t>När en vaccinationsplan ordineras sparas och ordineras den inte förrän användaren klickar på knappen “Ordinera”, tidigare har en vaccinationsplan ordinerats direkt när användaren har öppnat en mall eller skapat en plan</w:t>
      </w:r>
      <w:r w:rsidR="00184D62">
        <w:rPr>
          <w:sz w:val="23"/>
          <w:szCs w:val="23"/>
        </w:rPr>
        <w:t>.</w:t>
      </w:r>
      <w:r w:rsidRPr="00184D62">
        <w:rPr>
          <w:sz w:val="23"/>
          <w:szCs w:val="23"/>
        </w:rPr>
        <w:t xml:space="preserve"> </w:t>
      </w:r>
      <w:r w:rsidR="00F11D4E">
        <w:rPr>
          <w:sz w:val="23"/>
          <w:szCs w:val="23"/>
        </w:rPr>
        <w:br/>
      </w:r>
    </w:p>
    <w:p w14:paraId="695A343C" w14:textId="3A48B744" w:rsidR="00184D62" w:rsidRDefault="001011B5" w:rsidP="00184D62">
      <w:pPr>
        <w:pStyle w:val="Default"/>
        <w:numPr>
          <w:ilvl w:val="0"/>
          <w:numId w:val="12"/>
        </w:numPr>
        <w:rPr>
          <w:sz w:val="23"/>
          <w:szCs w:val="23"/>
        </w:rPr>
      </w:pPr>
      <w:r w:rsidRPr="00184D62">
        <w:rPr>
          <w:sz w:val="23"/>
          <w:szCs w:val="23"/>
        </w:rPr>
        <w:t>Ordinerade vaccinationsplaner visas nu i listorna “Ordinerade vacciner” och “Hälsodeklarationer” som nås från “Sök kund”</w:t>
      </w:r>
      <w:r w:rsidR="00184D62">
        <w:rPr>
          <w:sz w:val="23"/>
          <w:szCs w:val="23"/>
        </w:rPr>
        <w:t>.</w:t>
      </w:r>
      <w:r w:rsidRPr="00184D62">
        <w:rPr>
          <w:sz w:val="23"/>
          <w:szCs w:val="23"/>
        </w:rPr>
        <w:t xml:space="preserve"> </w:t>
      </w:r>
    </w:p>
    <w:p w14:paraId="52AC3FE8" w14:textId="77777777" w:rsidR="00184D62" w:rsidRDefault="00184D62" w:rsidP="00184D62">
      <w:pPr>
        <w:pStyle w:val="Default"/>
        <w:rPr>
          <w:sz w:val="23"/>
          <w:szCs w:val="23"/>
        </w:rPr>
      </w:pPr>
    </w:p>
    <w:p w14:paraId="1BC6B167" w14:textId="4EB1AA3C" w:rsidR="00184D62" w:rsidRDefault="00184D62" w:rsidP="00184D62">
      <w:pPr>
        <w:pStyle w:val="Default"/>
        <w:rPr>
          <w:sz w:val="40"/>
          <w:szCs w:val="40"/>
        </w:rPr>
      </w:pPr>
      <w:r>
        <w:rPr>
          <w:b/>
          <w:bCs/>
          <w:sz w:val="40"/>
          <w:szCs w:val="40"/>
        </w:rPr>
        <w:t xml:space="preserve">Rättelser </w:t>
      </w:r>
    </w:p>
    <w:p w14:paraId="0763900D" w14:textId="4FCCA3B9" w:rsidR="00184D62" w:rsidRDefault="00184D62" w:rsidP="00F11D4E">
      <w:pPr>
        <w:pStyle w:val="Default"/>
        <w:numPr>
          <w:ilvl w:val="0"/>
          <w:numId w:val="12"/>
        </w:numPr>
        <w:spacing w:after="90"/>
        <w:rPr>
          <w:sz w:val="23"/>
          <w:szCs w:val="23"/>
        </w:rPr>
      </w:pPr>
      <w:r>
        <w:rPr>
          <w:sz w:val="23"/>
          <w:szCs w:val="23"/>
        </w:rPr>
        <w:t xml:space="preserve">Ifylld information i vaccinationsflödet behålls när </w:t>
      </w:r>
      <w:proofErr w:type="spellStart"/>
      <w:r>
        <w:rPr>
          <w:sz w:val="23"/>
          <w:szCs w:val="23"/>
        </w:rPr>
        <w:t>felruta</w:t>
      </w:r>
      <w:proofErr w:type="spellEnd"/>
      <w:r>
        <w:rPr>
          <w:sz w:val="23"/>
          <w:szCs w:val="23"/>
        </w:rPr>
        <w:t xml:space="preserve"> visas angående saknade obligatoriska uppgifter, tidigare har till exempel vaccinationsanteckning och kampanjuppgift försvunnit vid felmeddelande</w:t>
      </w:r>
      <w:r>
        <w:rPr>
          <w:sz w:val="23"/>
          <w:szCs w:val="23"/>
        </w:rPr>
        <w:t>.</w:t>
      </w:r>
    </w:p>
    <w:p w14:paraId="61D94F12" w14:textId="66492CF4" w:rsidR="00184D62" w:rsidRPr="00184D62" w:rsidRDefault="00505DDE" w:rsidP="00184D62">
      <w:pPr>
        <w:pStyle w:val="Default"/>
        <w:numPr>
          <w:ilvl w:val="0"/>
          <w:numId w:val="12"/>
        </w:numPr>
        <w:spacing w:after="90"/>
        <w:rPr>
          <w:sz w:val="23"/>
          <w:szCs w:val="23"/>
        </w:rPr>
      </w:pPr>
      <w:r>
        <w:rPr>
          <w:sz w:val="23"/>
          <w:szCs w:val="23"/>
        </w:rPr>
        <w:t>MittVaccin</w:t>
      </w:r>
      <w:r w:rsidR="00184D62" w:rsidRPr="00184D62">
        <w:rPr>
          <w:sz w:val="23"/>
          <w:szCs w:val="23"/>
        </w:rPr>
        <w:t xml:space="preserve"> har åtgärdat en bugg som gjorde att det aktivering och </w:t>
      </w:r>
      <w:proofErr w:type="spellStart"/>
      <w:r w:rsidR="00184D62" w:rsidRPr="00184D62">
        <w:rPr>
          <w:sz w:val="23"/>
          <w:szCs w:val="23"/>
        </w:rPr>
        <w:t>inaktivering</w:t>
      </w:r>
      <w:proofErr w:type="spellEnd"/>
      <w:r w:rsidR="00184D62" w:rsidRPr="00184D62">
        <w:rPr>
          <w:sz w:val="23"/>
          <w:szCs w:val="23"/>
        </w:rPr>
        <w:t xml:space="preserve"> samt namnändringar i vaccinationsplaner visades med ca 15 minuters fördröjning i systemet. Ändringar sker nu momentant. För användare som inte har rätt att redigera en vaccinationsplan visas en annan symbol än pennsymbolen</w:t>
      </w:r>
      <w:r>
        <w:rPr>
          <w:sz w:val="23"/>
          <w:szCs w:val="23"/>
        </w:rPr>
        <w:t>.</w:t>
      </w:r>
      <w:r w:rsidR="00184D62" w:rsidRPr="00184D62">
        <w:rPr>
          <w:sz w:val="23"/>
          <w:szCs w:val="23"/>
        </w:rPr>
        <w:t xml:space="preserve"> </w:t>
      </w:r>
    </w:p>
    <w:p w14:paraId="1D28A087" w14:textId="62A79FD0" w:rsidR="00505DDE" w:rsidRPr="00F11D4E" w:rsidRDefault="00184D62" w:rsidP="00505DDE">
      <w:pPr>
        <w:pStyle w:val="Default"/>
        <w:numPr>
          <w:ilvl w:val="0"/>
          <w:numId w:val="12"/>
        </w:numPr>
        <w:spacing w:after="35"/>
        <w:rPr>
          <w:sz w:val="23"/>
          <w:szCs w:val="23"/>
        </w:rPr>
      </w:pPr>
      <w:r>
        <w:rPr>
          <w:sz w:val="23"/>
          <w:szCs w:val="23"/>
        </w:rPr>
        <w:t>I oktober 2023 infördes ett fel i MittVaccin Journal som gjorde att personer med sitt första förnamn registrerat som tilltalsnamn får alla sina förnamn utskrivna i systemet, samt att personer med dubbelnamn med bindestreck i får sitt namn visat dubbelt (exempel: Ann Marie-Marie). Detta är nu åtgärdat och alla namn kommer uppdateras vid nästa slagning mot Personuppgiftstjänsten</w:t>
      </w:r>
      <w:r w:rsidR="00505DDE">
        <w:rPr>
          <w:sz w:val="23"/>
          <w:szCs w:val="23"/>
        </w:rPr>
        <w:t>.</w:t>
      </w:r>
    </w:p>
    <w:p w14:paraId="2400ED4D" w14:textId="516FF674" w:rsidR="00505DDE" w:rsidRPr="00505DDE" w:rsidRDefault="00184D62" w:rsidP="00505DDE">
      <w:pPr>
        <w:pStyle w:val="Default"/>
        <w:numPr>
          <w:ilvl w:val="0"/>
          <w:numId w:val="12"/>
        </w:numPr>
        <w:spacing w:after="35"/>
        <w:rPr>
          <w:sz w:val="23"/>
          <w:szCs w:val="23"/>
        </w:rPr>
      </w:pPr>
      <w:r>
        <w:rPr>
          <w:sz w:val="23"/>
          <w:szCs w:val="23"/>
        </w:rPr>
        <w:t>Åtgärdat en bugg som gjorde att patienter som läggs till utan att en slagning mot PU-tjänsten görs blir felaktigt märkta som testpersoner. Markeringen försvinner vid nästa hämtning av uppgifter från PU</w:t>
      </w:r>
      <w:r w:rsidR="00505DDE">
        <w:rPr>
          <w:sz w:val="23"/>
          <w:szCs w:val="23"/>
        </w:rPr>
        <w:t>.</w:t>
      </w:r>
    </w:p>
    <w:p w14:paraId="0F49A7E3" w14:textId="182956BB" w:rsidR="00184D62" w:rsidRPr="00505DDE" w:rsidRDefault="00184D62" w:rsidP="00505DDE">
      <w:pPr>
        <w:pStyle w:val="Default"/>
        <w:numPr>
          <w:ilvl w:val="0"/>
          <w:numId w:val="12"/>
        </w:numPr>
        <w:rPr>
          <w:sz w:val="23"/>
          <w:szCs w:val="23"/>
        </w:rPr>
      </w:pPr>
      <w:r w:rsidRPr="00505DDE">
        <w:rPr>
          <w:sz w:val="23"/>
          <w:szCs w:val="23"/>
        </w:rPr>
        <w:lastRenderedPageBreak/>
        <w:t xml:space="preserve">Vid aktivering eller </w:t>
      </w:r>
      <w:proofErr w:type="spellStart"/>
      <w:r w:rsidRPr="00505DDE">
        <w:rPr>
          <w:sz w:val="23"/>
          <w:szCs w:val="23"/>
        </w:rPr>
        <w:t>inaktivering</w:t>
      </w:r>
      <w:proofErr w:type="spellEnd"/>
      <w:r w:rsidRPr="00505DDE">
        <w:rPr>
          <w:sz w:val="23"/>
          <w:szCs w:val="23"/>
        </w:rPr>
        <w:t xml:space="preserve"> av vaccinationsplansmallar finns inte längre någon fördröjning innan de flyttas till aktiva/inaktiva i listan med mallar</w:t>
      </w:r>
      <w:r w:rsidR="00F11D4E">
        <w:rPr>
          <w:sz w:val="23"/>
          <w:szCs w:val="23"/>
        </w:rPr>
        <w:t>.</w:t>
      </w:r>
      <w:r w:rsidR="00F11D4E">
        <w:rPr>
          <w:sz w:val="23"/>
          <w:szCs w:val="23"/>
        </w:rPr>
        <w:br/>
      </w:r>
    </w:p>
    <w:p w14:paraId="62D06621" w14:textId="04F1086C" w:rsidR="00505DDE" w:rsidRDefault="00184D62" w:rsidP="00F11D4E">
      <w:pPr>
        <w:pStyle w:val="Default"/>
        <w:numPr>
          <w:ilvl w:val="0"/>
          <w:numId w:val="12"/>
        </w:numPr>
        <w:spacing w:after="35"/>
        <w:rPr>
          <w:sz w:val="23"/>
          <w:szCs w:val="23"/>
        </w:rPr>
      </w:pPr>
      <w:r w:rsidRPr="00505DDE">
        <w:rPr>
          <w:sz w:val="23"/>
          <w:szCs w:val="23"/>
        </w:rPr>
        <w:t>Listan “Hälsodeklarationer” som nås från sök kund visar nu alla patienter, tidigare fanns det en bugg som gjorde att det bara visades en patient per hälsodeklarationsdefinition</w:t>
      </w:r>
      <w:r w:rsidR="00505DDE">
        <w:rPr>
          <w:sz w:val="23"/>
          <w:szCs w:val="23"/>
        </w:rPr>
        <w:t xml:space="preserve">. </w:t>
      </w:r>
      <w:r w:rsidR="00F11D4E">
        <w:rPr>
          <w:sz w:val="23"/>
          <w:szCs w:val="23"/>
        </w:rPr>
        <w:br/>
      </w:r>
    </w:p>
    <w:p w14:paraId="4B692B3F" w14:textId="57A2B5E7" w:rsidR="00184D62" w:rsidRPr="00505DDE" w:rsidRDefault="00184D62" w:rsidP="00F11D4E">
      <w:pPr>
        <w:pStyle w:val="Default"/>
        <w:numPr>
          <w:ilvl w:val="0"/>
          <w:numId w:val="12"/>
        </w:numPr>
        <w:spacing w:after="35"/>
        <w:rPr>
          <w:sz w:val="23"/>
          <w:szCs w:val="23"/>
        </w:rPr>
      </w:pPr>
      <w:r w:rsidRPr="00505DDE">
        <w:rPr>
          <w:sz w:val="23"/>
          <w:szCs w:val="23"/>
        </w:rPr>
        <w:t xml:space="preserve">Mobilnummer som börjar på 46 </w:t>
      </w:r>
      <w:proofErr w:type="gramStart"/>
      <w:r w:rsidR="00505DDE" w:rsidRPr="00505DDE">
        <w:rPr>
          <w:sz w:val="23"/>
          <w:szCs w:val="23"/>
        </w:rPr>
        <w:t>istället</w:t>
      </w:r>
      <w:proofErr w:type="gramEnd"/>
      <w:r w:rsidRPr="00505DDE">
        <w:rPr>
          <w:sz w:val="23"/>
          <w:szCs w:val="23"/>
        </w:rPr>
        <w:t xml:space="preserve"> för +46 fungerar nu vid utskick av SMS</w:t>
      </w:r>
      <w:r w:rsidR="00505DDE">
        <w:rPr>
          <w:sz w:val="23"/>
          <w:szCs w:val="23"/>
        </w:rPr>
        <w:t>.</w:t>
      </w:r>
      <w:r w:rsidRPr="00505DDE">
        <w:rPr>
          <w:sz w:val="23"/>
          <w:szCs w:val="23"/>
        </w:rPr>
        <w:t xml:space="preserve"> </w:t>
      </w:r>
    </w:p>
    <w:p w14:paraId="4AB238B8" w14:textId="77777777" w:rsidR="00184D62" w:rsidRDefault="00184D62" w:rsidP="00184D62">
      <w:pPr>
        <w:pStyle w:val="Default"/>
        <w:numPr>
          <w:ilvl w:val="1"/>
          <w:numId w:val="11"/>
        </w:numPr>
        <w:rPr>
          <w:sz w:val="23"/>
          <w:szCs w:val="23"/>
        </w:rPr>
      </w:pPr>
    </w:p>
    <w:sectPr w:rsidR="00184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56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13DA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92E4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807E0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E61B0F"/>
    <w:multiLevelType w:val="hybridMultilevel"/>
    <w:tmpl w:val="FFFFFFFF"/>
    <w:lvl w:ilvl="0" w:tplc="FFFFFFFF">
      <w:start w:val="1"/>
      <w:numFmt w:val="bullet"/>
      <w:lvlText w:val="•"/>
      <w:lvlJc w:val="left"/>
    </w:lvl>
    <w:lvl w:ilvl="1" w:tplc="2037CC66">
      <w:start w:val="1"/>
      <w:numFmt w:val="bullet"/>
      <w:lvlText w:val="•"/>
      <w:lvlJc w:val="left"/>
    </w:lvl>
    <w:lvl w:ilvl="2" w:tplc="48B23090">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0E39136"/>
    <w:multiLevelType w:val="hybridMultilevel"/>
    <w:tmpl w:val="FFFFFFFF"/>
    <w:lvl w:ilvl="0" w:tplc="FFFFFFFF">
      <w:start w:val="1"/>
      <w:numFmt w:val="bullet"/>
      <w:lvlText w:val="•"/>
      <w:lvlJc w:val="left"/>
    </w:lvl>
    <w:lvl w:ilvl="1" w:tplc="13C3DAA5">
      <w:start w:val="1"/>
      <w:numFmt w:val="bullet"/>
      <w:lvlText w:val="•"/>
      <w:lvlJc w:val="left"/>
    </w:lvl>
    <w:lvl w:ilvl="2" w:tplc="2AFBE38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1E49F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A3786B"/>
    <w:multiLevelType w:val="hybridMultilevel"/>
    <w:tmpl w:val="D5EEC86A"/>
    <w:lvl w:ilvl="0" w:tplc="FE1043F0">
      <w:start w:val="2024"/>
      <w:numFmt w:val="bullet"/>
      <w:lvlText w:val=""/>
      <w:lvlJc w:val="left"/>
      <w:pPr>
        <w:ind w:left="720" w:hanging="360"/>
      </w:pPr>
      <w:rPr>
        <w:rFonts w:ascii="Symbol" w:eastAsiaTheme="minorHAnsi" w:hAnsi="Symbol" w:cs="Calibri"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367C4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EB96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1B31FDA"/>
    <w:multiLevelType w:val="hybridMultilevel"/>
    <w:tmpl w:val="2DEE6B9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C08BC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3822A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8396770">
    <w:abstractNumId w:val="1"/>
  </w:num>
  <w:num w:numId="2" w16cid:durableId="206963743">
    <w:abstractNumId w:val="0"/>
  </w:num>
  <w:num w:numId="3" w16cid:durableId="1194882191">
    <w:abstractNumId w:val="3"/>
  </w:num>
  <w:num w:numId="4" w16cid:durableId="1546987999">
    <w:abstractNumId w:val="4"/>
  </w:num>
  <w:num w:numId="5" w16cid:durableId="1462117873">
    <w:abstractNumId w:val="5"/>
  </w:num>
  <w:num w:numId="6" w16cid:durableId="2093156140">
    <w:abstractNumId w:val="8"/>
  </w:num>
  <w:num w:numId="7" w16cid:durableId="1017345222">
    <w:abstractNumId w:val="12"/>
  </w:num>
  <w:num w:numId="8" w16cid:durableId="2058820039">
    <w:abstractNumId w:val="9"/>
  </w:num>
  <w:num w:numId="9" w16cid:durableId="209267352">
    <w:abstractNumId w:val="6"/>
  </w:num>
  <w:num w:numId="10" w16cid:durableId="2035571052">
    <w:abstractNumId w:val="11"/>
  </w:num>
  <w:num w:numId="11" w16cid:durableId="963853712">
    <w:abstractNumId w:val="2"/>
  </w:num>
  <w:num w:numId="12" w16cid:durableId="1830366971">
    <w:abstractNumId w:val="7"/>
  </w:num>
  <w:num w:numId="13" w16cid:durableId="124398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B5"/>
    <w:rsid w:val="001011B5"/>
    <w:rsid w:val="00184D62"/>
    <w:rsid w:val="00505DDE"/>
    <w:rsid w:val="00C21BA8"/>
    <w:rsid w:val="00F11D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8873"/>
  <w15:chartTrackingRefBased/>
  <w15:docId w15:val="{8CE8DAF9-5A66-4CA1-B99F-9AC7B9BD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1011B5"/>
    <w:pPr>
      <w:autoSpaceDE w:val="0"/>
      <w:autoSpaceDN w:val="0"/>
      <w:adjustRightInd w:val="0"/>
      <w:spacing w:after="0" w:line="240" w:lineRule="auto"/>
    </w:pPr>
    <w:rPr>
      <w:rFonts w:ascii="Calibri" w:hAnsi="Calibri" w:cs="Calibri"/>
      <w:color w:val="000000"/>
      <w:sz w:val="24"/>
      <w:szCs w:val="24"/>
    </w:rPr>
  </w:style>
  <w:style w:type="paragraph" w:styleId="Liststycke">
    <w:name w:val="List Paragraph"/>
    <w:basedOn w:val="Normal"/>
    <w:uiPriority w:val="34"/>
    <w:qFormat/>
    <w:rsid w:val="00505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461</Words>
  <Characters>2449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Bergelind</dc:creator>
  <cp:keywords/>
  <dc:description/>
  <cp:lastModifiedBy>Elin Bergelind</cp:lastModifiedBy>
  <cp:revision>1</cp:revision>
  <dcterms:created xsi:type="dcterms:W3CDTF">2024-04-22T07:40:00Z</dcterms:created>
  <dcterms:modified xsi:type="dcterms:W3CDTF">2024-04-22T08:13:00Z</dcterms:modified>
</cp:coreProperties>
</file>